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B48BF" w14:textId="77777777" w:rsidR="004700D5" w:rsidRDefault="004700D5" w:rsidP="008B4772">
      <w:pPr>
        <w:pStyle w:val="Body"/>
        <w:jc w:val="center"/>
        <w:rPr>
          <w:rFonts w:ascii="Trebuchet MS" w:hAnsi="Trebuchet MS"/>
          <w:noProof/>
          <w:color w:val="003300"/>
        </w:rPr>
      </w:pPr>
      <w:bookmarkStart w:id="0" w:name="_GoBack"/>
      <w:bookmarkEnd w:id="0"/>
    </w:p>
    <w:p w14:paraId="1F42ABDE" w14:textId="77777777" w:rsidR="002D7950" w:rsidRDefault="00741C2E" w:rsidP="002D7950">
      <w:pPr>
        <w:pStyle w:val="Body"/>
        <w:jc w:val="center"/>
        <w:rPr>
          <w:rFonts w:ascii="Trebuchet MS" w:hAnsi="Trebuchet MS"/>
          <w:noProof/>
          <w:color w:val="003300"/>
        </w:rPr>
      </w:pPr>
      <w:r>
        <w:rPr>
          <w:noProof/>
        </w:rPr>
        <w:drawing>
          <wp:inline distT="0" distB="0" distL="0" distR="0" wp14:anchorId="2015AC97" wp14:editId="7A8AE349">
            <wp:extent cx="1254125" cy="1101725"/>
            <wp:effectExtent l="0" t="0" r="0" b="0"/>
            <wp:docPr id="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125" cy="1101725"/>
                    </a:xfrm>
                    <a:prstGeom prst="rect">
                      <a:avLst/>
                    </a:prstGeom>
                    <a:noFill/>
                    <a:ln>
                      <a:noFill/>
                    </a:ln>
                  </pic:spPr>
                </pic:pic>
              </a:graphicData>
            </a:graphic>
          </wp:inline>
        </w:drawing>
      </w:r>
      <w:r w:rsidR="002D7950">
        <w:rPr>
          <w:noProof/>
        </w:rPr>
        <w:t xml:space="preserve">                                                                                        </w:t>
      </w:r>
      <w:r>
        <w:rPr>
          <w:rFonts w:ascii="Trebuchet MS" w:hAnsi="Trebuchet MS"/>
          <w:noProof/>
          <w:color w:val="003300"/>
        </w:rPr>
        <w:drawing>
          <wp:inline distT="0" distB="0" distL="0" distR="0" wp14:anchorId="3D3E5DD5" wp14:editId="1CA28707">
            <wp:extent cx="1277620" cy="1184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7620" cy="1184275"/>
                    </a:xfrm>
                    <a:prstGeom prst="rect">
                      <a:avLst/>
                    </a:prstGeom>
                    <a:noFill/>
                    <a:ln>
                      <a:noFill/>
                    </a:ln>
                  </pic:spPr>
                </pic:pic>
              </a:graphicData>
            </a:graphic>
          </wp:inline>
        </w:drawing>
      </w:r>
    </w:p>
    <w:p w14:paraId="5BC82D60" w14:textId="77777777" w:rsidR="004700D5" w:rsidRDefault="004700D5" w:rsidP="008B4772">
      <w:pPr>
        <w:pStyle w:val="Body"/>
        <w:jc w:val="center"/>
        <w:rPr>
          <w:rFonts w:ascii="Trebuchet MS" w:hAnsi="Trebuchet MS"/>
          <w:noProof/>
          <w:color w:val="003300"/>
        </w:rPr>
      </w:pPr>
    </w:p>
    <w:p w14:paraId="2981B1E4" w14:textId="77777777" w:rsidR="007856EF" w:rsidRDefault="007856EF">
      <w:pPr>
        <w:widowControl w:val="0"/>
      </w:pPr>
      <w:r>
        <w:tab/>
      </w:r>
      <w:r>
        <w:tab/>
      </w:r>
    </w:p>
    <w:p w14:paraId="6F922E86" w14:textId="27989A9D" w:rsidR="007856EF" w:rsidRPr="00927A0B" w:rsidRDefault="007856EF" w:rsidP="008B4772">
      <w:pPr>
        <w:widowControl w:val="0"/>
        <w:tabs>
          <w:tab w:val="left" w:pos="540"/>
          <w:tab w:val="center" w:pos="5184"/>
        </w:tabs>
        <w:ind w:left="540" w:hanging="540"/>
        <w:jc w:val="center"/>
        <w:rPr>
          <w:rFonts w:ascii="Swis721 BlkEx BT" w:hAnsi="Swis721 BlkEx BT"/>
          <w:b/>
          <w:sz w:val="32"/>
        </w:rPr>
      </w:pPr>
      <w:r w:rsidRPr="00927A0B">
        <w:rPr>
          <w:rFonts w:ascii="Swis721 BlkEx BT" w:hAnsi="Swis721 BlkEx BT"/>
          <w:b/>
          <w:sz w:val="32"/>
        </w:rPr>
        <w:t>DES LIGNES DIRECTRICES</w:t>
      </w:r>
    </w:p>
    <w:p w14:paraId="560FBB72" w14:textId="77777777" w:rsidR="00DA6132" w:rsidRDefault="00E25A4D" w:rsidP="00760F18">
      <w:pPr>
        <w:widowControl w:val="0"/>
        <w:tabs>
          <w:tab w:val="left" w:pos="540"/>
          <w:tab w:val="center" w:pos="5184"/>
        </w:tabs>
        <w:ind w:left="540" w:hanging="540"/>
        <w:rPr>
          <w:rFonts w:ascii="Arial" w:hAnsi="Arial"/>
          <w:sz w:val="22"/>
        </w:rPr>
      </w:pPr>
      <w:r>
        <w:rPr>
          <w:rFonts w:ascii="Arial" w:hAnsi="Arial"/>
          <w:sz w:val="22"/>
        </w:rPr>
        <w:tab/>
      </w:r>
    </w:p>
    <w:p w14:paraId="3496EC7E" w14:textId="77777777" w:rsidR="007856EF" w:rsidRDefault="007856EF" w:rsidP="00760F18">
      <w:pPr>
        <w:widowControl w:val="0"/>
        <w:tabs>
          <w:tab w:val="left" w:pos="540"/>
        </w:tabs>
        <w:ind w:left="540" w:hanging="540"/>
        <w:rPr>
          <w:rFonts w:ascii="Arial" w:hAnsi="Arial"/>
          <w:sz w:val="22"/>
        </w:rPr>
      </w:pPr>
    </w:p>
    <w:p w14:paraId="1CFB5CB7" w14:textId="77777777" w:rsidR="002C6914" w:rsidRDefault="002C6914" w:rsidP="002C6914">
      <w:pPr>
        <w:widowControl w:val="0"/>
        <w:numPr>
          <w:ilvl w:val="0"/>
          <w:numId w:val="5"/>
        </w:numPr>
        <w:tabs>
          <w:tab w:val="left" w:pos="540"/>
          <w:tab w:val="left" w:pos="5670"/>
        </w:tabs>
        <w:ind w:left="0" w:firstLine="0"/>
        <w:rPr>
          <w:rFonts w:ascii="Arial" w:hAnsi="Arial"/>
          <w:sz w:val="20"/>
        </w:rPr>
      </w:pPr>
      <w:r>
        <w:rPr>
          <w:rFonts w:ascii="Arial" w:hAnsi="Arial"/>
          <w:sz w:val="20"/>
        </w:rPr>
        <w:t>6-8 mois (calendrier est fixé pour la classe de 6 mois, mais si prend un peu plus pas un problème)</w:t>
      </w:r>
    </w:p>
    <w:p w14:paraId="7220A222" w14:textId="77777777" w:rsidR="007856EF" w:rsidRPr="00AF677C" w:rsidRDefault="002C6914" w:rsidP="002C6914">
      <w:pPr>
        <w:widowControl w:val="0"/>
        <w:numPr>
          <w:ilvl w:val="0"/>
          <w:numId w:val="5"/>
        </w:numPr>
        <w:tabs>
          <w:tab w:val="left" w:pos="540"/>
          <w:tab w:val="left" w:pos="5670"/>
        </w:tabs>
        <w:ind w:left="0" w:firstLine="0"/>
        <w:rPr>
          <w:rFonts w:ascii="Arial" w:hAnsi="Arial"/>
          <w:sz w:val="20"/>
        </w:rPr>
      </w:pPr>
      <w:r>
        <w:rPr>
          <w:rFonts w:ascii="Arial" w:hAnsi="Arial"/>
          <w:sz w:val="20"/>
        </w:rPr>
        <w:t>Recevra le certificat et la transcription</w:t>
      </w:r>
    </w:p>
    <w:p w14:paraId="68F8E165" w14:textId="77777777" w:rsidR="007856EF" w:rsidRDefault="002D7950" w:rsidP="002D7950">
      <w:pPr>
        <w:widowControl w:val="0"/>
        <w:tabs>
          <w:tab w:val="left" w:pos="540"/>
        </w:tabs>
        <w:ind w:left="540" w:hanging="540"/>
        <w:rPr>
          <w:rFonts w:ascii="Arial" w:hAnsi="Arial"/>
          <w:sz w:val="20"/>
        </w:rPr>
      </w:pPr>
      <w:r w:rsidRPr="002D7950">
        <w:rPr>
          <w:rFonts w:ascii="Arial" w:hAnsi="Arial"/>
          <w:sz w:val="20"/>
        </w:rPr>
        <w:t>3.</w:t>
      </w:r>
      <w:r>
        <w:rPr>
          <w:rFonts w:ascii="Arial" w:hAnsi="Arial"/>
          <w:sz w:val="20"/>
        </w:rPr>
        <w:tab/>
      </w:r>
      <w:r w:rsidR="002C6914" w:rsidRPr="00AF677C">
        <w:rPr>
          <w:rFonts w:ascii="Arial" w:hAnsi="Arial"/>
          <w:sz w:val="20"/>
        </w:rPr>
        <w:t>Les élèves ont besoin de 34 heures de crédit pour obtenir leur diplôme</w:t>
      </w:r>
    </w:p>
    <w:p w14:paraId="2EEBC106" w14:textId="17CCE9CC" w:rsidR="002D7950" w:rsidRDefault="002D7950" w:rsidP="002D7950">
      <w:pPr>
        <w:widowControl w:val="0"/>
        <w:tabs>
          <w:tab w:val="left" w:pos="540"/>
        </w:tabs>
        <w:ind w:left="540" w:hanging="540"/>
        <w:rPr>
          <w:rFonts w:ascii="Arial" w:hAnsi="Arial"/>
          <w:sz w:val="20"/>
        </w:rPr>
      </w:pPr>
      <w:r>
        <w:rPr>
          <w:rFonts w:ascii="Arial" w:hAnsi="Arial"/>
          <w:sz w:val="20"/>
        </w:rPr>
        <w:t>4.</w:t>
      </w:r>
      <w:r>
        <w:rPr>
          <w:rFonts w:ascii="Arial" w:hAnsi="Arial"/>
          <w:sz w:val="20"/>
        </w:rPr>
        <w:tab/>
        <w:t>S'il vous plaît garder précis</w:t>
      </w:r>
      <w:r w:rsidR="00870B8D">
        <w:rPr>
          <w:rFonts w:ascii="Arial" w:hAnsi="Arial"/>
          <w:sz w:val="20"/>
        </w:rPr>
        <w:t xml:space="preserve"> inscriptions et scores pour aider les relevés de notes complets.</w:t>
      </w:r>
    </w:p>
    <w:p w14:paraId="2558DB26" w14:textId="77777777" w:rsidR="002D7950" w:rsidRDefault="002D7950" w:rsidP="002D7950">
      <w:pPr>
        <w:widowControl w:val="0"/>
        <w:tabs>
          <w:tab w:val="left" w:pos="540"/>
        </w:tabs>
        <w:ind w:left="540" w:hanging="540"/>
        <w:rPr>
          <w:rFonts w:ascii="Arial" w:hAnsi="Arial"/>
          <w:sz w:val="20"/>
        </w:rPr>
      </w:pPr>
    </w:p>
    <w:p w14:paraId="5CDBFDB8" w14:textId="0C5803DB" w:rsidR="002D7950" w:rsidRPr="00AF677C" w:rsidRDefault="002D7950" w:rsidP="002D7950">
      <w:pPr>
        <w:widowControl w:val="0"/>
        <w:rPr>
          <w:rFonts w:ascii="Arial" w:hAnsi="Arial"/>
          <w:sz w:val="20"/>
        </w:rPr>
      </w:pPr>
      <w:r>
        <w:rPr>
          <w:rFonts w:ascii="Arial" w:hAnsi="Arial"/>
          <w:sz w:val="20"/>
        </w:rPr>
        <w:t>S'il vous plaît rappelez-vous que ce sont des classes, ils ne sont pas l'église! Permettre aux élèves de poser des questions et garder les choses informelles, mais ordonnée. Asseyez-vous avec eux sur leur niveau d'enseigner ne prêchait pas. A la fin de chaque section dans les manuels sont des questions que vous pouvez les quiz sur. Vous pouvez prendre ces pour former un examen final ou créer vos propres questions.</w:t>
      </w:r>
      <w:r>
        <w:rPr>
          <w:rFonts w:ascii="Arial" w:hAnsi="Arial"/>
          <w:sz w:val="20"/>
        </w:rPr>
        <w:tab/>
      </w:r>
    </w:p>
    <w:p w14:paraId="7EA16F88" w14:textId="77777777" w:rsidR="007856EF" w:rsidRPr="00AF677C" w:rsidRDefault="00760F18" w:rsidP="002C6914">
      <w:pPr>
        <w:widowControl w:val="0"/>
        <w:tabs>
          <w:tab w:val="left" w:pos="540"/>
        </w:tabs>
        <w:ind w:left="540" w:hanging="540"/>
        <w:rPr>
          <w:rFonts w:ascii="Arial" w:hAnsi="Arial"/>
          <w:sz w:val="20"/>
        </w:rPr>
      </w:pPr>
      <w:r w:rsidRPr="00AF677C">
        <w:rPr>
          <w:rFonts w:ascii="Arial" w:hAnsi="Arial"/>
          <w:sz w:val="20"/>
        </w:rPr>
        <w:tab/>
      </w:r>
    </w:p>
    <w:p w14:paraId="12409FA2" w14:textId="77777777" w:rsidR="007856EF" w:rsidRPr="00AF677C" w:rsidRDefault="007856EF" w:rsidP="00760F18">
      <w:pPr>
        <w:widowControl w:val="0"/>
        <w:tabs>
          <w:tab w:val="left" w:pos="540"/>
        </w:tabs>
        <w:ind w:left="540" w:hanging="540"/>
        <w:rPr>
          <w:rFonts w:ascii="Arial" w:hAnsi="Arial"/>
          <w:sz w:val="20"/>
        </w:rPr>
      </w:pPr>
    </w:p>
    <w:p w14:paraId="5438BAA1" w14:textId="77777777" w:rsidR="00624C25" w:rsidRPr="00792EE3" w:rsidRDefault="00624C25" w:rsidP="00624C25">
      <w:pPr>
        <w:widowControl w:val="0"/>
        <w:tabs>
          <w:tab w:val="left" w:pos="540"/>
        </w:tabs>
        <w:ind w:left="540" w:hanging="540"/>
        <w:jc w:val="center"/>
        <w:rPr>
          <w:rFonts w:ascii="Arial" w:hAnsi="Arial"/>
          <w:b/>
          <w:sz w:val="20"/>
          <w:u w:val="single"/>
        </w:rPr>
      </w:pPr>
      <w:r w:rsidRPr="00792EE3">
        <w:rPr>
          <w:rFonts w:ascii="Arial" w:hAnsi="Arial"/>
          <w:b/>
          <w:sz w:val="20"/>
          <w:u w:val="single"/>
        </w:rPr>
        <w:t>COMPRENDRE HEURES DE CRÉDIT</w:t>
      </w:r>
    </w:p>
    <w:p w14:paraId="1F5C95D8" w14:textId="77777777" w:rsidR="00624C25" w:rsidRDefault="00624C25" w:rsidP="00624C25">
      <w:pPr>
        <w:widowControl w:val="0"/>
        <w:tabs>
          <w:tab w:val="left" w:pos="540"/>
        </w:tabs>
        <w:ind w:left="540" w:hanging="540"/>
        <w:rPr>
          <w:rFonts w:ascii="Arial" w:hAnsi="Arial"/>
          <w:sz w:val="20"/>
        </w:rPr>
      </w:pPr>
    </w:p>
    <w:p w14:paraId="3DED53C3" w14:textId="77777777" w:rsidR="00624C25" w:rsidRDefault="00624C25" w:rsidP="00624C25">
      <w:pPr>
        <w:widowControl w:val="0"/>
        <w:tabs>
          <w:tab w:val="left" w:pos="0"/>
        </w:tabs>
        <w:rPr>
          <w:rFonts w:ascii="Arial" w:hAnsi="Arial"/>
          <w:sz w:val="20"/>
        </w:rPr>
      </w:pPr>
      <w:r>
        <w:rPr>
          <w:rFonts w:ascii="Arial" w:hAnsi="Arial"/>
          <w:sz w:val="20"/>
        </w:rPr>
        <w:t>« heures de crédit » est un terme technique bien établie décrivant le nombre d'heures d'enseignement requises pour compléter le cours prévu. Le nombre d'heures de crédit nous dit combien d'heures d'enseignement sont nécessaires pour chaque semaine d'enseignement. Chaque segment contient 2 mois d'instruction.</w:t>
      </w:r>
    </w:p>
    <w:p w14:paraId="54B346F1" w14:textId="77777777" w:rsidR="002C6914" w:rsidRDefault="002C6914" w:rsidP="00624C25">
      <w:pPr>
        <w:widowControl w:val="0"/>
        <w:tabs>
          <w:tab w:val="left" w:pos="0"/>
        </w:tabs>
        <w:rPr>
          <w:rFonts w:ascii="Arial" w:hAnsi="Arial"/>
          <w:sz w:val="20"/>
        </w:rPr>
      </w:pPr>
    </w:p>
    <w:p w14:paraId="7CB562FD" w14:textId="77777777" w:rsidR="00624C25" w:rsidRDefault="00870B8D" w:rsidP="00624C25">
      <w:pPr>
        <w:widowControl w:val="0"/>
        <w:tabs>
          <w:tab w:val="left" w:pos="0"/>
        </w:tabs>
        <w:rPr>
          <w:rFonts w:ascii="Arial" w:hAnsi="Arial"/>
          <w:sz w:val="20"/>
        </w:rPr>
      </w:pPr>
      <w:r>
        <w:rPr>
          <w:rFonts w:ascii="Arial" w:hAnsi="Arial"/>
          <w:sz w:val="20"/>
        </w:rPr>
        <w:t>Une heure est définie comme au moins cinquante minutes d'enseignement dans le matériel de cours. Instruction qui va au-delà du temps de l'heure, mais moins d'une heure et quarante minutes, seront toujours considérés comme une heure d'instruction.</w:t>
      </w:r>
    </w:p>
    <w:p w14:paraId="55A38323" w14:textId="77777777" w:rsidR="00624C25" w:rsidRDefault="00624C25" w:rsidP="00624C25">
      <w:pPr>
        <w:widowControl w:val="0"/>
        <w:tabs>
          <w:tab w:val="left" w:pos="0"/>
        </w:tabs>
        <w:rPr>
          <w:rFonts w:ascii="Arial" w:hAnsi="Arial"/>
          <w:sz w:val="20"/>
        </w:rPr>
      </w:pPr>
    </w:p>
    <w:p w14:paraId="7CEAC009" w14:textId="77777777" w:rsidR="00E32523" w:rsidRDefault="00E32523" w:rsidP="00E32523">
      <w:pPr>
        <w:widowControl w:val="0"/>
        <w:ind w:left="630" w:hanging="630"/>
        <w:rPr>
          <w:rFonts w:ascii="Arial" w:hAnsi="Arial"/>
          <w:sz w:val="20"/>
        </w:rPr>
      </w:pPr>
    </w:p>
    <w:p w14:paraId="54D60FCE" w14:textId="77777777" w:rsidR="00E32523" w:rsidRDefault="00E32523" w:rsidP="00E32523">
      <w:pPr>
        <w:widowControl w:val="0"/>
        <w:ind w:left="630" w:hanging="630"/>
        <w:rPr>
          <w:rFonts w:ascii="Arial" w:hAnsi="Arial"/>
          <w:sz w:val="20"/>
        </w:rPr>
      </w:pPr>
    </w:p>
    <w:p w14:paraId="33293976" w14:textId="77777777" w:rsidR="00E32523" w:rsidRDefault="00E32523" w:rsidP="00E32523">
      <w:pPr>
        <w:widowControl w:val="0"/>
        <w:ind w:left="630" w:hanging="630"/>
        <w:rPr>
          <w:rFonts w:ascii="Arial" w:hAnsi="Arial"/>
          <w:sz w:val="20"/>
        </w:rPr>
      </w:pPr>
    </w:p>
    <w:p w14:paraId="4F8E45B9" w14:textId="77777777" w:rsidR="00AF677C" w:rsidRDefault="00AF677C" w:rsidP="00E32523">
      <w:pPr>
        <w:widowControl w:val="0"/>
        <w:tabs>
          <w:tab w:val="left" w:pos="540"/>
        </w:tabs>
        <w:ind w:left="630" w:hanging="630"/>
        <w:rPr>
          <w:rFonts w:ascii="Arial" w:hAnsi="Arial"/>
          <w:sz w:val="20"/>
        </w:rPr>
      </w:pPr>
    </w:p>
    <w:sectPr w:rsidR="00AF677C" w:rsidSect="00BC6C1B">
      <w:footnotePr>
        <w:numFmt w:val="lowerLetter"/>
      </w:footnotePr>
      <w:endnotePr>
        <w:numFmt w:val="lowerLetter"/>
      </w:endnotePr>
      <w:pgSz w:w="12240" w:h="15840"/>
      <w:pgMar w:top="270" w:right="990" w:bottom="270" w:left="1152" w:header="432" w:footer="57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Swis721 BlkEx BT">
    <w:altName w:val="ＭＳ Ｐゴシック"/>
    <w:charset w:val="00"/>
    <w:family w:val="swiss"/>
    <w:pitch w:val="variable"/>
    <w:sig w:usb0="00000087"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1E98"/>
    <w:multiLevelType w:val="hybridMultilevel"/>
    <w:tmpl w:val="35B0FB60"/>
    <w:lvl w:ilvl="0" w:tplc="724C69F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14BC1"/>
    <w:multiLevelType w:val="hybridMultilevel"/>
    <w:tmpl w:val="CCC89292"/>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185E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60D81B1B"/>
    <w:multiLevelType w:val="hybridMultilevel"/>
    <w:tmpl w:val="DE2A947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F3B5E59"/>
    <w:multiLevelType w:val="hybridMultilevel"/>
    <w:tmpl w:val="120CB622"/>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32"/>
    <w:rsid w:val="0003231B"/>
    <w:rsid w:val="001B4E71"/>
    <w:rsid w:val="001D60D3"/>
    <w:rsid w:val="00213DA0"/>
    <w:rsid w:val="00222FEB"/>
    <w:rsid w:val="00285062"/>
    <w:rsid w:val="002C1107"/>
    <w:rsid w:val="002C6914"/>
    <w:rsid w:val="002D04D8"/>
    <w:rsid w:val="002D7950"/>
    <w:rsid w:val="002E095D"/>
    <w:rsid w:val="002F6848"/>
    <w:rsid w:val="003321A6"/>
    <w:rsid w:val="004700D5"/>
    <w:rsid w:val="004E32EA"/>
    <w:rsid w:val="004F25BD"/>
    <w:rsid w:val="00521267"/>
    <w:rsid w:val="00522A8A"/>
    <w:rsid w:val="00524EC2"/>
    <w:rsid w:val="00571FC7"/>
    <w:rsid w:val="00583A9F"/>
    <w:rsid w:val="0058585D"/>
    <w:rsid w:val="00624C25"/>
    <w:rsid w:val="00645901"/>
    <w:rsid w:val="00657CDD"/>
    <w:rsid w:val="006808C6"/>
    <w:rsid w:val="006954FF"/>
    <w:rsid w:val="00741C2E"/>
    <w:rsid w:val="00760F18"/>
    <w:rsid w:val="007810B0"/>
    <w:rsid w:val="007856EF"/>
    <w:rsid w:val="00792EE3"/>
    <w:rsid w:val="007B64C7"/>
    <w:rsid w:val="0084003A"/>
    <w:rsid w:val="00870B8D"/>
    <w:rsid w:val="008B4772"/>
    <w:rsid w:val="008B51B2"/>
    <w:rsid w:val="008B5503"/>
    <w:rsid w:val="008F02D3"/>
    <w:rsid w:val="00927A0B"/>
    <w:rsid w:val="009A7962"/>
    <w:rsid w:val="009B44F3"/>
    <w:rsid w:val="009F72D9"/>
    <w:rsid w:val="00A016FD"/>
    <w:rsid w:val="00AA6083"/>
    <w:rsid w:val="00AF677C"/>
    <w:rsid w:val="00B66EF7"/>
    <w:rsid w:val="00B836F6"/>
    <w:rsid w:val="00B96B82"/>
    <w:rsid w:val="00BC6C1B"/>
    <w:rsid w:val="00D824B7"/>
    <w:rsid w:val="00DA6132"/>
    <w:rsid w:val="00E11A60"/>
    <w:rsid w:val="00E25A4D"/>
    <w:rsid w:val="00E32523"/>
    <w:rsid w:val="00E75486"/>
    <w:rsid w:val="00F166EB"/>
    <w:rsid w:val="00F71810"/>
    <w:rsid w:val="00FB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D5D9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4772"/>
    <w:rPr>
      <w:rFonts w:ascii="Helvetica" w:eastAsia="ヒラギノ角ゴ Pro W3" w:hAnsi="Helvetica"/>
      <w:color w:val="000000"/>
      <w:sz w:val="24"/>
    </w:rPr>
  </w:style>
  <w:style w:type="paragraph" w:styleId="BalloonText">
    <w:name w:val="Balloon Text"/>
    <w:basedOn w:val="Normal"/>
    <w:link w:val="BalloonTextChar"/>
    <w:rsid w:val="00870B8D"/>
    <w:rPr>
      <w:rFonts w:ascii="Lucida Grande" w:hAnsi="Lucida Grande" w:cs="Lucida Grande"/>
      <w:sz w:val="18"/>
      <w:szCs w:val="18"/>
    </w:rPr>
  </w:style>
  <w:style w:type="character" w:customStyle="1" w:styleId="BalloonTextChar">
    <w:name w:val="Balloon Text Char"/>
    <w:basedOn w:val="DefaultParagraphFont"/>
    <w:link w:val="BalloonText"/>
    <w:rsid w:val="00870B8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4772"/>
    <w:rPr>
      <w:rFonts w:ascii="Helvetica" w:eastAsia="ヒラギノ角ゴ Pro W3" w:hAnsi="Helvetica"/>
      <w:color w:val="000000"/>
      <w:sz w:val="24"/>
    </w:rPr>
  </w:style>
  <w:style w:type="paragraph" w:styleId="BalloonText">
    <w:name w:val="Balloon Text"/>
    <w:basedOn w:val="Normal"/>
    <w:link w:val="BalloonTextChar"/>
    <w:rsid w:val="00870B8D"/>
    <w:rPr>
      <w:rFonts w:ascii="Lucida Grande" w:hAnsi="Lucida Grande" w:cs="Lucida Grande"/>
      <w:sz w:val="18"/>
      <w:szCs w:val="18"/>
    </w:rPr>
  </w:style>
  <w:style w:type="character" w:customStyle="1" w:styleId="BalloonTextChar">
    <w:name w:val="Balloon Text Char"/>
    <w:basedOn w:val="DefaultParagraphFont"/>
    <w:link w:val="BalloonText"/>
    <w:rsid w:val="00870B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248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Remote Area Services</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Regenna Greenleaf</dc:creator>
  <cp:keywords/>
  <cp:lastModifiedBy>Reggie Greenleaf</cp:lastModifiedBy>
  <cp:revision>2</cp:revision>
  <cp:lastPrinted>2008-09-30T16:02:00Z</cp:lastPrinted>
  <dcterms:created xsi:type="dcterms:W3CDTF">2017-05-08T12:57:00Z</dcterms:created>
  <dcterms:modified xsi:type="dcterms:W3CDTF">2017-05-08T12:57:00Z</dcterms:modified>
</cp:coreProperties>
</file>